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265</w:t>
      </w:r>
    </w:p>
    <w:p>
      <w:r>
        <w:t>Bundesgericht (BGE), 2017-05-04, DE</w:t>
      </w:r>
    </w:p>
    <w:p>
      <w:r>
        <w:rPr>
          <w:b/>
        </w:rPr>
        <w:t xml:space="preserve">Quelle: </w:t>
      </w:r>
      <w:r>
        <w:t>https://mcp.opencaselaw.ch/entscheid/bge_146 V 265</w:t>
      </w:r>
    </w:p>
    <w:p>
      <w:r>
        <w:t>FR: ATF 146 V 265</w:t>
      </w:r>
    </w:p>
    <w:p>
      <w:r>
        <w:t>IT: DTF 146 V 265</w:t>
      </w:r>
    </w:p>
    <w:p>
      <w:pPr>
        <w:pStyle w:val="Heading2"/>
      </w:pPr>
      <w:r>
        <w:t>Regeste</w:t>
      </w:r>
    </w:p>
    <w:p>
      <w:r>
        <w:t>Regeste Art. 291 in Verbindung mit Art. 177 ZGB; Art. 20 Abs. 1 ATSG; Drittauszahlung einer Invalidenrente auf der Grundlage einer zivilgerichtlichen Schuldneranweisung. Die Ehefrau kann die Drittauszahlung der Invalidenrente des Ehemannes gestützt auf eine im Rahmen des eingeleiteten Scheidungsverfahrens zivilgerichtlich angeordnete Schuldneranweisung (Art. 291 i.V.m. Art. 177 ZGB) an sich selber verlangen. Der gemäss bundesgerichtlicher Rechtsprechung wortgetreu auszulegende Art. 20 Abs. 1 ATSG ist in dieser Konstellation nicht einschlägig, da die Ehefrau gegenüber dem Ehemann nicht unterstützungspflichtig, sondern unterstützungsberechtigt ist (E. 2 und 3).</w:t>
      </w:r>
    </w:p>
    <w:p>
      <w:pPr>
        <w:pStyle w:val="Heading2"/>
      </w:pPr>
      <w:r>
        <w:t>Erwägungen</w:t>
      </w:r>
    </w:p>
    <w:p>
      <w:r>
        <w:rPr>
          <w:b/>
        </w:rPr>
        <w:t>E. 2</w:t>
      </w:r>
    </w:p>
    <w:p>
      <w:r>
        <w:t>Streitig und zu prüfen ist, ob die IV-Stelle aufgrund der Schuldneranweisung (Art. 291 in Verbindung mit Art. 177 ZGB ) des Bezirksgerichts Luzern - rechtskräftig bestätigt durch das Kantonsgericht Luzern - verpflichtet ist, von der Invalidenrente des B. monatlich Fr. 432.- direkt der Beschwerdegegnerin zu überweisen.</w:t>
      </w:r>
    </w:p>
    <w:p>
      <w:r>
        <w:rPr>
          <w:b/>
        </w:rPr>
        <w:t>E. 2.1</w:t>
      </w:r>
    </w:p>
    <w:p>
      <w:r>
        <w:t>Das Sozialversicherungsgericht stellte fest, das Kantonsgericht Luzern habe in seinem Entscheid vom 29. September 2017 die verwaltungsrechtliche Vorfrage nach der Zulässigkeit einer Schuldneranweisung an die IV-Stelle bejaht. Schwerwiegende Mängel seien dabei nicht erkennbar. Die Vorinstanz erwog, die Anweisungen des Zivilrichters über die Auszahlung der Renten seien für die Ausgleichskassen bereits gemäss Wegleitung des BSV über die Renten (RWL) in der Eidgenössischen Alters-, Hinterlassenen- und Invalidenversicherung, gültig ab 1. Januar 2003 (Stand 1. Januar 2017; Rz. 10051-10053) verbindlich. Im Übrigen handle es sich bei der Schuldneranweisung um eine privilegierte Zwangsvollstreckungsmassnahme sui generis, die in unmittelbarem Zusammenhang zum Zivilrecht stehe. Eine Zuordnung zum öffentlichen Recht des Bundes im Sinne von Art. 5 Abs. 1 VwVG stehe folglich nicht zur Diskussion. BGE 146 V 265 S. 268 Damit sei die Frage, ob die IV-Stelle die Invalidenrente des B. im Umfang der Schuldneranweisung an die Beschwerdegegnerin auszuzahlen habe, einer Verfügung im Sinne von Art. 49 ATSG gar nicht zugänglich.</w:t>
      </w:r>
    </w:p>
    <w:p>
      <w:r>
        <w:rPr>
          <w:b/>
        </w:rPr>
        <w:t>E. 2.2</w:t>
      </w:r>
    </w:p>
    <w:p>
      <w:r>
        <w:t>Die IV-Stelle rügt, gemäss bundesgerichtlicher Rechtsprechung sei Art. 20 Abs. 1 ATSG wortgetreu auszulegen. Die Voraussetzungen des entsprechenden Artikels seien hier nicht erfüllt, da keine Unterstützungspflicht seitens der Beschwerdegegnerin für B. vorliege. Der durch die Vorinstanz bestätigten Schuldneranweisung fehle es somit an einer gesetzlichen Grundlage. Ferner weist die IV-Stelle darauf hin, dass die zivilgerichtliche Anordnung einer sozialversicherungsrechtlichen Rückforderungsmöglichkeit nach Art. 25 Abs. 1 ATSG entgegenstehe, was problematisch erscheine. Zu den Rz. 10051-10053 RWL bringt die IV-Stelle vor, Weisungen seien zwar für die Verwaltungsbehörden verbindlich. Allerdings seien die genannten Randziffern der Weisung bzw. deren Entstehungsgeschichte unklar, weshalb nicht ohne Weiteres darauf abgestellt werden könne. Ausserdem sei die Schlussfolgerung des kantonalen Gerichts, der hier vorliegende Sachverhalt sei einer Verfügung im Sinne von Art. 49 ATSG gar nicht zugänglich, nicht korrekt. Denn im ATSG werde die Drittauszahlung von Leistungen geregelt, weshalb eine Verfügung über eine nicht mit den sozialversicherungsrechtlichen Grundlagen im Einklang stehende Schuldneranweisung möglich sein müsse.</w:t>
      </w:r>
    </w:p>
    <w:p>
      <w:r>
        <w:rPr>
          <w:b/>
        </w:rPr>
        <w:t>E. 3.1.1</w:t>
      </w:r>
    </w:p>
    <w:p>
      <w:r>
        <w:t>Unter dem Titel "Gewährleistung zweckmässiger Verwendung" normiert Art. 20 Abs. 1 ATSG , dass Geldleistungen ganz oder teilweise einem geeigneten Dritten oder einer Behörde ausbezahlt werden können, der oder die der berechtigten Person gegenüber gesetzlich oder sittlich unterstützungspflichtig ist oder diese dauernd fürsorgerisch betreut, sofern: (a) die berechtigte Person die Geldleistungen nicht für den eigenen Unterhalt oder für den Unterhalt von Personen, für die sie zu sorgen hat, verwendet oder dazu nachweisbar nicht im Stande ist; und (b) die berechtigte Person oder Personen, für die sie zu sorgen hat, aus einem Grund nach Buchstabe a auf die Hilfe der öffentlichen oder privaten Fürsorge angewiesen sind.</w:t>
      </w:r>
    </w:p>
    <w:p>
      <w:r>
        <w:rPr>
          <w:b/>
        </w:rPr>
        <w:t>E. 3.1.2</w:t>
      </w:r>
    </w:p>
    <w:p>
      <w:r>
        <w:t>Gemäss bundesgerichtlicher Rechtsprechung ist Art. 20 Abs. 1 ATSG wortgetreu auszulegen, d.h., der Kreis der empfangsberechtigten Personen richtet sich nach dem Wortlaut der Bestimmung. BGE 146 V 265 S. 269 Daher ist keine Drittauszahlung möglich an Personen, welche gegenüber der berechtigten Person nicht unterstützungspflichtig, sondern unterstützungsberechtigt sind (Urteil 5P.474/2005 vom 8. März 2006 E. 1 und 2.3; BGE 143 V 241 E. 4.4 S. 246; HÜRZELER/LISCHER, in: Basler Kommentar, Allgemeiner Teil des Sozialversicherungsrechts, 2020, N. 9 zu Art. 20 ATSG ).</w:t>
      </w:r>
    </w:p>
    <w:p>
      <w:r>
        <w:rPr>
          <w:b/>
        </w:rPr>
        <w:t>E. 3.1.3</w:t>
      </w:r>
    </w:p>
    <w:p>
      <w:r>
        <w:t>Im vorliegenden Fall liegt die Drittauszahlung an die Beschwerdegegnerin, die gegenüber B. nicht unterstützungspflichtig, sondern unterstützungsberechtigt ist, im Streit. Ist rechtsprechungsgemäss (E. 3.1.2) vom Wortlaut des Art. 20 Abs. 1 ATSG auszugehen, ist die hier vorliegende Konstellation davon nicht erfasst und der entsprechende Artikel folglich nicht einschlägig.</w:t>
      </w:r>
    </w:p>
    <w:p>
      <w:r>
        <w:rPr>
          <w:b/>
        </w:rPr>
        <w:t>E. 3.2.1</w:t>
      </w:r>
    </w:p>
    <w:p>
      <w:r>
        <w:t>Gesetzliche Grundlage für die (rechtskräftige) zivilgerichtliche Schuldneranweisung bildet - ob im Eheschutzverfahren (vgl. E. 2) oder im Scheidungsurteil (vgl. Art. 132 Abs. 1 ZGB ) - Art. 291 ZGB . Sein Zweck ist die Sicherung des Unterhalts- oder Unterstützungsbeitrages der unterstützungsberechtigten Personen (vgl. MARTINA PATRICIA STEINER, Die Anweisungen an die Schuldner, Die Voraussetzungen der Massnahmen nach Art. 132 Abs. 1, Art. 177 und Art. 291 ZGB sowie Art. 13 Abs. 3 PartG , in: Luzerner Beiträge zur Rechtswissenschaft [LBR], Bd. 101, 2015, Rz. 255 mit Hinweis). Das Bezirksgericht Luzern, bestätigt durch das Kantonsgericht Luzern, hat mit der Schuldneranweisung keinen eigenständigen Anspruch der Beschwerdegegnerin auf einen Teil der Invalidenrente des B. oder auf die Kinderrente im Sinne eines Gläubigerwechsels begründet, sondern lediglich den Zahlungsmodus geregelt ( BGE 143 V 241 E. 4.5 S. 247).</w:t>
      </w:r>
    </w:p>
    <w:p>
      <w:r>
        <w:rPr>
          <w:b/>
        </w:rPr>
        <w:t>E. 3.2.2</w:t>
      </w:r>
    </w:p>
    <w:p>
      <w:r>
        <w:t>Die Schuldneranweisung beinhaltet eine Inkassoermächtigung in Vertretung der ehelichen Gemeinschaft. Zur Durchsetzung dieser Inkassoermächtigung stehen der Beschwerdegegnerin alle Rechtsbehelfe im Sinne einer Prozessstandschaft zur Verfügung. Sie kann somit den ihrem Ehemann zustehenden Anspruch in eigenem Namen - als Partei - gerichtlich durchsetzen. Die Schuldneranweisung ist auch gegenüber einem Sozialversicherer zulässig, weshalb sich die Prozessstandschaft auch im sozialversicherungsrechtlichen Verwaltungsverfahren auswirkt (Urteil 8C_192/2008 vom 8. April 2009 E. 4.3.1, in: SVR 2009 UV Nr. 42 S. 145 mit Hinweisen auf die Rechtsprechung und Literatur). Wie die IV-Stelle richtig vorbringt, folgen im soeben zitierten Entscheid im Anschluss an die Ausführungen zur BGE 146 V 265 S. 270 Schuldneranweisung und Inkassoermächtigung Formulierungen zur Akteneinsicht nach Art. 47 ATSG . Die Erwägungen zu Art. 177 bzw. Art. 291 ZGB sind jedoch allgemeiner Natur und nicht spezifisch auf Art. 47 ATSG ausgerichtet, weshalb sie auch im vorliegenden Fall Gültigkeit haben.</w:t>
      </w:r>
    </w:p>
    <w:p>
      <w:r>
        <w:rPr>
          <w:b/>
        </w:rPr>
        <w:t>E. 3.2.3</w:t>
      </w:r>
    </w:p>
    <w:p>
      <w:r>
        <w:t>Somit kann die Beschwerdegegnerin die Drittauszahlung auf der Grundlage der Schuldneranweisung an sich selber verlangen ( BGE 143 V 241 E. 4.5 S. 247). Daran vermag der Umstand, dass die zivilgerichtliche Anordnung (Anspruch auf Drittauszahlung mit entsprechender Schuldneranweisung) einer sozialversicherungsrechtlichen Rückforderungsmöglichkeit nach Art. 25 Abs. 1 ATSG der Beschwerdegegnerin gegenüber entgegensteht ( BGE 143 V 241 E. 4.6.1 S. 247 f.), nichts zu ändern. Bei der Auslegung sozialversicherungsrechtlicher Regelungen mit Anknüpfung an familienrechtliche Tatbestände (wie Ehe, Verwandtschaft oder Vormundschaft) ist rechtsprechungsgemäss davon auszugehen, dass der Gesetzgeber vorbehältlich gegenteiliger Anordnungen die zivilrechtliche Bedeutung des jeweiligen Instituts im Blickfeld hatte, zumal das Familienrecht für das Sozialversicherungsrecht Voraussetzung ist und diesem grundsätzlich vorgeht ( BGE 143 V 305 E. 4.1 S. 310 mit weiteren Hinweisen).</w:t>
      </w:r>
    </w:p>
    <w:p>
      <w:r>
        <w:rPr>
          <w:b/>
        </w:rPr>
        <w:t>E. 3.3</w:t>
      </w:r>
    </w:p>
    <w:p>
      <w:r>
        <w:t>Die IV-Stelle ist im Verfahren betreffend die Schuldneranweisung nicht Partei gewesen. Folglich hat sie keine Möglichkeit gehabt, sich dort einzubringen. Sie macht zu Recht geltend, dass es stossend sei, wenn sie an zivilrechtlich rechtskräftige Entscheide gebunden wäre, die schwerwiegende Mängel aufweisen würden. Hierzu ist festzuhalten, dass die Vorinstanz den Entscheid des Kantonsgerichts Luzern vom 29. September 2017 auf schwerwiegende Mängel untersucht und das Vorliegen von solchen verneint hat. Die IV-Stelle bringt im letztinstanzlichen Verfahren nicht vor, dass die Schuldneranweisung an sich an schweren Mängeln leidet. Sie bezieht sich stattdessen unter anderem auf eine materielle Voraussetzung der Schuldneranweisung (Wahrung des Existenzminimums von B.) und überprüft diese neu, was nicht genügt, um einen schwerwiegenden Mangel aufzuzeigen (vgl. dazu HÄFELIN/MÜLLER/UHLMANN, Allgemeines Verwaltungsrecht, 7. Aufl. 2016, S. 244 Rz. 1128 ff.). Ein solcher ist denn auch nicht ersichtlich. Soweit sich die von der IV-Stelle geltend gemachten Mängel der Schuldneranweisung auf Art. 20 Abs. 1 ATSG beziehen, kann sie mit Blick auf das in Erwägung 3.1 und 3.2 Gesagte nichts zu ihren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